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53B7BC99">
        <w:tblPrEx>
          <w:tblLayout w:type="fixed"/>
          <w:tblCellMar>
            <w:top w:w="0" w:type="dxa"/>
            <w:left w:w="108" w:type="dxa"/>
            <w:bottom w:w="0" w:type="dxa"/>
            <w:right w:w="108" w:type="dxa"/>
          </w:tblCellMar>
        </w:tblPrEx>
        <w:tc>
          <w:tcPr>
            <w:tcW w:w="4261" w:type="dxa"/>
          </w:tcPr>
          <w:p w14:paraId="456F0233">
            <w:pPr>
              <w:keepNext w:val="0"/>
              <w:keepLines w:val="0"/>
              <w:widowControl/>
              <w:suppressLineNumbers w:val="0"/>
              <w:jc w:val="left"/>
              <w:rPr>
                <w:rFonts w:ascii="宋体" w:hAnsi="宋体" w:eastAsia="宋体" w:cs="宋体"/>
                <w:kern w:val="0"/>
                <w:sz w:val="24"/>
                <w:szCs w:val="24"/>
                <w:vertAlign w:val="baseline"/>
                <w:lang w:val="en-US" w:eastAsia="zh-CN" w:bidi="ar"/>
              </w:rPr>
            </w:pPr>
            <w:bookmarkStart w:id="0" w:name="_GoBack"/>
            <w:bookmarkEnd w:id="0"/>
            <w:r>
              <w:rPr>
                <w:rFonts w:ascii="宋体" w:hAnsi="宋体" w:eastAsia="宋体" w:cs="宋体"/>
                <w:kern w:val="0"/>
                <w:sz w:val="24"/>
                <w:szCs w:val="24"/>
                <w:vertAlign w:val="baseline"/>
                <w:lang w:val="en-US" w:eastAsia="zh-CN" w:bidi="ar"/>
              </w:rPr>
              <w:drawing>
                <wp:inline distT="0" distB="0" distL="114300" distR="114300">
                  <wp:extent cx="2540000" cy="1905000"/>
                  <wp:effectExtent l="0" t="0" r="0" b="0"/>
                  <wp:docPr id="4" name="图片 4" descr="微信图片_20250518182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50518182454"/>
                          <pic:cNvPicPr>
                            <a:picLocks noChangeAspect="1"/>
                          </pic:cNvPicPr>
                        </pic:nvPicPr>
                        <pic:blipFill>
                          <a:blip r:embed="rId4"/>
                          <a:stretch>
                            <a:fillRect/>
                          </a:stretch>
                        </pic:blipFill>
                        <pic:spPr>
                          <a:xfrm>
                            <a:off x="0" y="0"/>
                            <a:ext cx="2540000" cy="1905000"/>
                          </a:xfrm>
                          <a:prstGeom prst="rect">
                            <a:avLst/>
                          </a:prstGeom>
                        </pic:spPr>
                      </pic:pic>
                    </a:graphicData>
                  </a:graphic>
                </wp:inline>
              </w:drawing>
            </w:r>
          </w:p>
        </w:tc>
        <w:tc>
          <w:tcPr>
            <w:tcW w:w="4261" w:type="dxa"/>
          </w:tcPr>
          <w:p w14:paraId="0A181E2B">
            <w:pPr>
              <w:keepNext w:val="0"/>
              <w:keepLines w:val="0"/>
              <w:widowControl/>
              <w:suppressLineNumbers w:val="0"/>
              <w:ind w:firstLine="480" w:firstLineChars="200"/>
              <w:jc w:val="left"/>
              <w:rPr>
                <w:rFonts w:ascii="宋体" w:hAnsi="宋体" w:eastAsia="宋体" w:cs="宋体"/>
                <w:kern w:val="0"/>
                <w:sz w:val="24"/>
                <w:szCs w:val="24"/>
                <w:vertAlign w:val="baseline"/>
                <w:lang w:val="en-US" w:eastAsia="zh-CN" w:bidi="ar"/>
              </w:rPr>
            </w:pPr>
            <w:r>
              <w:rPr>
                <w:rFonts w:ascii="宋体" w:hAnsi="宋体" w:eastAsia="宋体" w:cs="宋体"/>
                <w:kern w:val="0"/>
                <w:sz w:val="24"/>
                <w:szCs w:val="24"/>
                <w:lang w:val="en-US" w:eastAsia="zh-CN" w:bidi="ar"/>
              </w:rPr>
              <w:t>应宁老师匠心独运，开启一场意义非凡的地理公开课。以甘肃武威沙漠化治理为情境，借地理信息技术，让“大漠沙如雪”的现状直观呈现，引导学生探寻成因。应宁老师以甘肃武威“八步沙六老汉”治沙事迹为切口，引导学生在破解生态难题中感悟“不破楼兰终不还”的治沙精神，于知识传递之间向学生播撒了家国情怀的种子。</w:t>
            </w:r>
          </w:p>
        </w:tc>
      </w:tr>
    </w:tbl>
    <w:p w14:paraId="2AADBEE4">
      <w:pPr>
        <w:keepNext w:val="0"/>
        <w:keepLines w:val="0"/>
        <w:widowControl/>
        <w:suppressLineNumbers w:val="0"/>
        <w:jc w:val="left"/>
        <w:rPr>
          <w:rFonts w:ascii="宋体" w:hAnsi="宋体" w:eastAsia="宋体" w:cs="宋体"/>
          <w:kern w:val="0"/>
          <w:sz w:val="24"/>
          <w:szCs w:val="24"/>
          <w:lang w:val="en-US" w:eastAsia="zh-CN" w:bidi="ar"/>
        </w:rPr>
      </w:pPr>
    </w:p>
    <w:p w14:paraId="412C83F7">
      <w:pPr>
        <w:keepNext w:val="0"/>
        <w:keepLines w:val="0"/>
        <w:widowControl/>
        <w:suppressLineNumbers w:val="0"/>
        <w:jc w:val="left"/>
        <w:rPr>
          <w:rFonts w:ascii="宋体" w:hAnsi="宋体" w:eastAsia="宋体" w:cs="宋体"/>
          <w:kern w:val="0"/>
          <w:sz w:val="24"/>
          <w:szCs w:val="24"/>
          <w:lang w:val="en-US" w:eastAsia="zh-CN" w:bidi="ar"/>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6"/>
        <w:gridCol w:w="4186"/>
      </w:tblGrid>
      <w:tr w14:paraId="72EA7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6" w:type="dxa"/>
          </w:tcPr>
          <w:p w14:paraId="0E57F942">
            <w:pPr>
              <w:keepNext w:val="0"/>
              <w:keepLines w:val="0"/>
              <w:widowControl/>
              <w:suppressLineNumbers w:val="0"/>
              <w:jc w:val="left"/>
              <w:rPr>
                <w:rFonts w:ascii="宋体" w:hAnsi="宋体" w:eastAsia="宋体" w:cs="宋体"/>
                <w:kern w:val="0"/>
                <w:sz w:val="24"/>
                <w:szCs w:val="24"/>
                <w:vertAlign w:val="baseline"/>
                <w:lang w:val="en-US" w:eastAsia="zh-CN" w:bidi="ar"/>
              </w:rPr>
            </w:pPr>
            <w:r>
              <w:rPr>
                <w:rFonts w:ascii="宋体" w:hAnsi="宋体" w:eastAsia="宋体" w:cs="宋体"/>
                <w:kern w:val="0"/>
                <w:sz w:val="24"/>
                <w:szCs w:val="24"/>
                <w:vertAlign w:val="baseline"/>
                <w:lang w:val="en-US" w:eastAsia="zh-CN" w:bidi="ar"/>
              </w:rPr>
              <w:drawing>
                <wp:inline distT="0" distB="0" distL="114300" distR="114300">
                  <wp:extent cx="2604135" cy="1953895"/>
                  <wp:effectExtent l="0" t="0" r="12065" b="1905"/>
                  <wp:docPr id="5" name="图片 5"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
                          <pic:cNvPicPr>
                            <a:picLocks noChangeAspect="1"/>
                          </pic:cNvPicPr>
                        </pic:nvPicPr>
                        <pic:blipFill>
                          <a:blip r:embed="rId5"/>
                          <a:stretch>
                            <a:fillRect/>
                          </a:stretch>
                        </pic:blipFill>
                        <pic:spPr>
                          <a:xfrm>
                            <a:off x="0" y="0"/>
                            <a:ext cx="2604135" cy="1953895"/>
                          </a:xfrm>
                          <a:prstGeom prst="rect">
                            <a:avLst/>
                          </a:prstGeom>
                        </pic:spPr>
                      </pic:pic>
                    </a:graphicData>
                  </a:graphic>
                </wp:inline>
              </w:drawing>
            </w:r>
          </w:p>
        </w:tc>
        <w:tc>
          <w:tcPr>
            <w:tcW w:w="4186" w:type="dxa"/>
          </w:tcPr>
          <w:p w14:paraId="48F641F8">
            <w:pPr>
              <w:keepNext w:val="0"/>
              <w:keepLines w:val="0"/>
              <w:widowControl/>
              <w:suppressLineNumbers w:val="0"/>
              <w:jc w:val="left"/>
              <w:rPr>
                <w:rFonts w:ascii="宋体" w:hAnsi="宋体" w:eastAsia="宋体" w:cs="宋体"/>
                <w:kern w:val="0"/>
                <w:sz w:val="24"/>
                <w:szCs w:val="24"/>
                <w:vertAlign w:val="baseline"/>
                <w:lang w:val="en-US" w:eastAsia="zh-CN" w:bidi="ar"/>
              </w:rPr>
            </w:pPr>
            <w:r>
              <w:rPr>
                <w:rFonts w:ascii="宋体" w:hAnsi="宋体" w:eastAsia="宋体" w:cs="宋体"/>
                <w:kern w:val="0"/>
                <w:sz w:val="24"/>
                <w:szCs w:val="24"/>
                <w:lang w:val="en-US" w:eastAsia="zh-CN" w:bidi="ar"/>
              </w:rPr>
              <w:t>吴棋棋老师依托西海固生态变迁史，借助地理工具分析水土流失机理，深挖水土流失成因与危害。在探讨“保塬、护坡、固沟”策略时，结合实例让知识落地。在分析“山海情”里的治沙精神时，创设“生态规划师”角色任务，让学生在“保塬护坡固沟”工程设计中，体会“千磨万击还坚劲”的治山智慧，解码《山海情》背后的生态治理密码，使家国情怀与生态保护责任感在学生心底悄然生长。</w:t>
            </w:r>
          </w:p>
        </w:tc>
      </w:tr>
    </w:tbl>
    <w:p w14:paraId="6483CEA6">
      <w:pPr>
        <w:keepNext w:val="0"/>
        <w:keepLines w:val="0"/>
        <w:widowControl/>
        <w:suppressLineNumbers w:val="0"/>
        <w:jc w:val="left"/>
        <w:rPr>
          <w:rFonts w:ascii="宋体" w:hAnsi="宋体" w:eastAsia="宋体" w:cs="宋体"/>
          <w:kern w:val="0"/>
          <w:sz w:val="24"/>
          <w:szCs w:val="24"/>
          <w:lang w:val="en-US" w:eastAsia="zh-CN" w:bidi="ar"/>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5FAEE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14:paraId="497E917A">
            <w:pPr>
              <w:rPr>
                <w:rFonts w:hint="eastAsia" w:eastAsiaTheme="minorEastAsia"/>
                <w:vertAlign w:val="baseline"/>
                <w:lang w:eastAsia="zh-CN"/>
              </w:rPr>
            </w:pPr>
            <w:r>
              <w:rPr>
                <w:rFonts w:hint="eastAsia" w:eastAsiaTheme="minorEastAsia"/>
                <w:vertAlign w:val="baseline"/>
                <w:lang w:eastAsia="zh-CN"/>
              </w:rPr>
              <w:drawing>
                <wp:inline distT="0" distB="0" distL="114300" distR="114300">
                  <wp:extent cx="2406015" cy="1805305"/>
                  <wp:effectExtent l="0" t="0" r="6985" b="10795"/>
                  <wp:docPr id="6" name="图片 6" descr="微信图片_20250518183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50518183358"/>
                          <pic:cNvPicPr>
                            <a:picLocks noChangeAspect="1"/>
                          </pic:cNvPicPr>
                        </pic:nvPicPr>
                        <pic:blipFill>
                          <a:blip r:embed="rId6"/>
                          <a:stretch>
                            <a:fillRect/>
                          </a:stretch>
                        </pic:blipFill>
                        <pic:spPr>
                          <a:xfrm>
                            <a:off x="0" y="0"/>
                            <a:ext cx="2406015" cy="1805305"/>
                          </a:xfrm>
                          <a:prstGeom prst="rect">
                            <a:avLst/>
                          </a:prstGeom>
                        </pic:spPr>
                      </pic:pic>
                    </a:graphicData>
                  </a:graphic>
                </wp:inline>
              </w:drawing>
            </w:r>
          </w:p>
        </w:tc>
        <w:tc>
          <w:tcPr>
            <w:tcW w:w="4261" w:type="dxa"/>
          </w:tcPr>
          <w:p w14:paraId="69C3CF63">
            <w:pPr>
              <w:keepNext w:val="0"/>
              <w:keepLines w:val="0"/>
              <w:widowControl/>
              <w:suppressLineNumbers w:val="0"/>
              <w:jc w:val="left"/>
            </w:pPr>
            <w:r>
              <w:rPr>
                <w:rFonts w:ascii="宋体" w:hAnsi="宋体" w:eastAsia="宋体" w:cs="宋体"/>
                <w:kern w:val="0"/>
                <w:sz w:val="24"/>
                <w:szCs w:val="24"/>
                <w:lang w:val="en-US" w:eastAsia="zh-CN" w:bidi="ar"/>
              </w:rPr>
              <w:t>胡璐璐老师的公开课，以赣州稀土产业转型为案例，分析其促经济、引环境问题的双面性，引导学生思索可持续发展之道，构建“资源开发双刃剑”思辨课堂。通过角色扮演（政府/企业/居民）多维视角，让学生见证科技创新与绿色发展，探索“科技创新+循环经济”的转型路径，在“鱼与熊掌”的抉择中培育可持续发展观。</w:t>
            </w:r>
          </w:p>
          <w:p w14:paraId="2D3BA05C">
            <w:pPr>
              <w:rPr>
                <w:vertAlign w:val="baseline"/>
              </w:rPr>
            </w:pPr>
          </w:p>
        </w:tc>
      </w:tr>
    </w:tbl>
    <w:p w14:paraId="00D78697">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210A7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14:paraId="29801E0E">
            <w:pPr>
              <w:rPr>
                <w:rFonts w:hint="eastAsia" w:eastAsiaTheme="minorEastAsia"/>
                <w:vertAlign w:val="baseline"/>
                <w:lang w:eastAsia="zh-CN"/>
              </w:rPr>
            </w:pPr>
            <w:r>
              <w:rPr>
                <w:rFonts w:hint="eastAsia" w:eastAsiaTheme="minorEastAsia"/>
                <w:vertAlign w:val="baseline"/>
                <w:lang w:eastAsia="zh-CN"/>
              </w:rPr>
              <w:drawing>
                <wp:inline distT="0" distB="0" distL="114300" distR="114300">
                  <wp:extent cx="2322195" cy="1699260"/>
                  <wp:effectExtent l="0" t="0" r="1905" b="2540"/>
                  <wp:docPr id="7" name="图片 7" descr="微信图片_20250518183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50518183453"/>
                          <pic:cNvPicPr>
                            <a:picLocks noChangeAspect="1"/>
                          </pic:cNvPicPr>
                        </pic:nvPicPr>
                        <pic:blipFill>
                          <a:blip r:embed="rId7"/>
                          <a:stretch>
                            <a:fillRect/>
                          </a:stretch>
                        </pic:blipFill>
                        <pic:spPr>
                          <a:xfrm>
                            <a:off x="0" y="0"/>
                            <a:ext cx="2322195" cy="1699260"/>
                          </a:xfrm>
                          <a:prstGeom prst="rect">
                            <a:avLst/>
                          </a:prstGeom>
                        </pic:spPr>
                      </pic:pic>
                    </a:graphicData>
                  </a:graphic>
                </wp:inline>
              </w:drawing>
            </w:r>
          </w:p>
        </w:tc>
        <w:tc>
          <w:tcPr>
            <w:tcW w:w="4261" w:type="dxa"/>
          </w:tcPr>
          <w:p w14:paraId="5FF5CC9F">
            <w:pPr>
              <w:keepNext w:val="0"/>
              <w:keepLines w:val="0"/>
              <w:widowControl/>
              <w:suppressLineNumbers w:val="0"/>
              <w:jc w:val="left"/>
            </w:pPr>
            <w:r>
              <w:rPr>
                <w:rFonts w:ascii="宋体" w:hAnsi="宋体" w:eastAsia="宋体" w:cs="宋体"/>
                <w:kern w:val="0"/>
                <w:sz w:val="24"/>
                <w:szCs w:val="24"/>
                <w:lang w:val="en-US" w:eastAsia="zh-CN" w:bidi="ar"/>
              </w:rPr>
              <w:t>杨秋萍老师的课堂，以莱茵河治理为引，于时空经纬中细解治理妙法，尽显“他山之石，可以攻玉”的智慧。她引导学生将莱茵经验融入中国河流治理，让生态修复与经济发展并驾齐驱。这不仅是知识的传递，更是家国情怀的厚植，激励莘莘学子为守护华夏江河、建设美丽家园，肩负起时代赋予的使命 。</w:t>
            </w:r>
          </w:p>
          <w:p w14:paraId="4C45A1C4">
            <w:pPr>
              <w:rPr>
                <w:vertAlign w:val="baseline"/>
              </w:rPr>
            </w:pPr>
          </w:p>
        </w:tc>
      </w:tr>
    </w:tbl>
    <w:p w14:paraId="4F13B5C3">
      <w:pPr/>
      <w:r>
        <w:br w:type="page"/>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3EFC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14:paraId="734117DC">
            <w:pPr>
              <w:rPr>
                <w:rFonts w:hint="eastAsia" w:eastAsiaTheme="minorEastAsia"/>
                <w:vertAlign w:val="baseline"/>
                <w:lang w:eastAsia="zh-CN"/>
              </w:rPr>
            </w:pPr>
            <w:r>
              <w:rPr>
                <w:rFonts w:hint="eastAsia" w:eastAsiaTheme="minorEastAsia"/>
                <w:vertAlign w:val="baseline"/>
                <w:lang w:eastAsia="zh-CN"/>
              </w:rPr>
              <w:drawing>
                <wp:inline distT="0" distB="0" distL="114300" distR="114300">
                  <wp:extent cx="2284730" cy="1713865"/>
                  <wp:effectExtent l="0" t="0" r="1270" b="635"/>
                  <wp:docPr id="8" name="图片 8" descr="微信图片_20250518183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50518183947"/>
                          <pic:cNvPicPr>
                            <a:picLocks noChangeAspect="1"/>
                          </pic:cNvPicPr>
                        </pic:nvPicPr>
                        <pic:blipFill>
                          <a:blip r:embed="rId8"/>
                          <a:stretch>
                            <a:fillRect/>
                          </a:stretch>
                        </pic:blipFill>
                        <pic:spPr>
                          <a:xfrm>
                            <a:off x="0" y="0"/>
                            <a:ext cx="2284730" cy="1713865"/>
                          </a:xfrm>
                          <a:prstGeom prst="rect">
                            <a:avLst/>
                          </a:prstGeom>
                        </pic:spPr>
                      </pic:pic>
                    </a:graphicData>
                  </a:graphic>
                </wp:inline>
              </w:drawing>
            </w:r>
          </w:p>
        </w:tc>
        <w:tc>
          <w:tcPr>
            <w:tcW w:w="4261" w:type="dxa"/>
          </w:tcPr>
          <w:p w14:paraId="153D4578">
            <w:pPr>
              <w:keepNext w:val="0"/>
              <w:keepLines w:val="0"/>
              <w:widowControl/>
              <w:suppressLineNumbers w:val="0"/>
              <w:jc w:val="left"/>
            </w:pPr>
            <w:r>
              <w:rPr>
                <w:rFonts w:ascii="宋体" w:hAnsi="宋体" w:eastAsia="宋体" w:cs="宋体"/>
                <w:kern w:val="0"/>
                <w:sz w:val="24"/>
                <w:szCs w:val="24"/>
                <w:lang w:val="en-US" w:eastAsia="zh-CN" w:bidi="ar"/>
              </w:rPr>
              <w:t>胡</w:t>
            </w:r>
            <w:r>
              <w:rPr>
                <w:rFonts w:hint="eastAsia" w:ascii="宋体" w:hAnsi="宋体" w:eastAsia="宋体" w:cs="宋体"/>
                <w:kern w:val="0"/>
                <w:sz w:val="24"/>
                <w:szCs w:val="24"/>
                <w:lang w:val="en-US" w:eastAsia="zh-CN" w:bidi="ar"/>
              </w:rPr>
              <w:t>水晶</w:t>
            </w:r>
            <w:r>
              <w:rPr>
                <w:rFonts w:ascii="宋体" w:hAnsi="宋体" w:eastAsia="宋体" w:cs="宋体"/>
                <w:kern w:val="0"/>
                <w:sz w:val="24"/>
                <w:szCs w:val="24"/>
                <w:lang w:val="en-US" w:eastAsia="zh-CN" w:bidi="ar"/>
              </w:rPr>
              <w:t>老师独辟蹊径，以晋江市田洋九九西红柿种植为线，将思政元素巧妙融入地理课堂使学生在潜移默化中培养了科学精神与社会责任；在讲解西红柿种植区位因素时，胡老师安排了学生观察西红柿秧苗的环节，学生们仔细观察其生长态势，触摸叶片，感受生命的律动。</w:t>
            </w:r>
          </w:p>
          <w:p w14:paraId="67E0E07D">
            <w:pPr>
              <w:rPr>
                <w:vertAlign w:val="baseline"/>
              </w:rPr>
            </w:pPr>
          </w:p>
        </w:tc>
      </w:tr>
    </w:tbl>
    <w:p w14:paraId="0AE33217">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6307E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14:paraId="3AE1AFA6">
            <w:pPr>
              <w:rPr>
                <w:rFonts w:hint="eastAsia" w:eastAsiaTheme="minorEastAsia"/>
                <w:vertAlign w:val="baseline"/>
                <w:lang w:eastAsia="zh-CN"/>
              </w:rPr>
            </w:pPr>
            <w:r>
              <w:rPr>
                <w:rFonts w:hint="eastAsia" w:eastAsiaTheme="minorEastAsia"/>
                <w:vertAlign w:val="baseline"/>
                <w:lang w:eastAsia="zh-CN"/>
              </w:rPr>
              <w:drawing>
                <wp:inline distT="0" distB="0" distL="114300" distR="114300">
                  <wp:extent cx="2540000" cy="1905000"/>
                  <wp:effectExtent l="0" t="0" r="0" b="0"/>
                  <wp:docPr id="9" name="图片 9" descr="微信图片_20250518184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50518184439"/>
                          <pic:cNvPicPr>
                            <a:picLocks noChangeAspect="1"/>
                          </pic:cNvPicPr>
                        </pic:nvPicPr>
                        <pic:blipFill>
                          <a:blip r:embed="rId9"/>
                          <a:stretch>
                            <a:fillRect/>
                          </a:stretch>
                        </pic:blipFill>
                        <pic:spPr>
                          <a:xfrm>
                            <a:off x="0" y="0"/>
                            <a:ext cx="2540000" cy="1905000"/>
                          </a:xfrm>
                          <a:prstGeom prst="rect">
                            <a:avLst/>
                          </a:prstGeom>
                        </pic:spPr>
                      </pic:pic>
                    </a:graphicData>
                  </a:graphic>
                </wp:inline>
              </w:drawing>
            </w:r>
          </w:p>
        </w:tc>
        <w:tc>
          <w:tcPr>
            <w:tcW w:w="4261" w:type="dxa"/>
          </w:tcPr>
          <w:p w14:paraId="71D53076">
            <w:pPr>
              <w:keepNext w:val="0"/>
              <w:keepLines w:val="0"/>
              <w:widowControl/>
              <w:suppressLineNumbers w:val="0"/>
              <w:jc w:val="left"/>
            </w:pPr>
            <w:r>
              <w:rPr>
                <w:rFonts w:hint="eastAsia" w:ascii="宋体" w:hAnsi="宋体" w:eastAsia="宋体" w:cs="宋体"/>
                <w:kern w:val="0"/>
                <w:sz w:val="24"/>
                <w:szCs w:val="24"/>
                <w:lang w:val="en-US" w:eastAsia="zh-CN" w:bidi="ar"/>
              </w:rPr>
              <w:t>李晓萱老师</w:t>
            </w:r>
            <w:r>
              <w:rPr>
                <w:rFonts w:ascii="宋体" w:hAnsi="宋体" w:eastAsia="宋体" w:cs="宋体"/>
                <w:kern w:val="0"/>
                <w:sz w:val="24"/>
                <w:szCs w:val="24"/>
                <w:lang w:val="en-US" w:eastAsia="zh-CN" w:bidi="ar"/>
              </w:rPr>
              <w:t>以《哪吒之魔童降世》为情境载体，将高中生熟悉的神话 IP与地理学科知识深度融合，打破传统教学模式，展现出独特的教学设计巧思与扎实的课堂把控能力，令人耳目一新。通过动画片段、角色扮演等互动形式，将抽象的理论转化为具象故事，极大激发了学生的参与热情。</w:t>
            </w:r>
          </w:p>
          <w:p w14:paraId="447C7CAA">
            <w:pPr>
              <w:rPr>
                <w:vertAlign w:val="baseline"/>
              </w:rPr>
            </w:pPr>
          </w:p>
        </w:tc>
      </w:tr>
    </w:tbl>
    <w:p w14:paraId="0C79C254">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033A6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14:paraId="03EED3F3">
            <w:pPr>
              <w:rPr>
                <w:rFonts w:hint="eastAsia" w:eastAsiaTheme="minorEastAsia"/>
                <w:vertAlign w:val="baseline"/>
                <w:lang w:eastAsia="zh-CN"/>
              </w:rPr>
            </w:pPr>
            <w:r>
              <w:rPr>
                <w:rFonts w:hint="eastAsia" w:eastAsiaTheme="minorEastAsia"/>
                <w:vertAlign w:val="baseline"/>
                <w:lang w:eastAsia="zh-CN"/>
              </w:rPr>
              <w:drawing>
                <wp:inline distT="0" distB="0" distL="114300" distR="114300">
                  <wp:extent cx="2565400" cy="1924050"/>
                  <wp:effectExtent l="0" t="0" r="0" b="6350"/>
                  <wp:docPr id="10" name="图片 10" descr="微信图片_20250518184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50518184451"/>
                          <pic:cNvPicPr>
                            <a:picLocks noChangeAspect="1"/>
                          </pic:cNvPicPr>
                        </pic:nvPicPr>
                        <pic:blipFill>
                          <a:blip r:embed="rId10"/>
                          <a:stretch>
                            <a:fillRect/>
                          </a:stretch>
                        </pic:blipFill>
                        <pic:spPr>
                          <a:xfrm>
                            <a:off x="0" y="0"/>
                            <a:ext cx="2565400" cy="1924050"/>
                          </a:xfrm>
                          <a:prstGeom prst="rect">
                            <a:avLst/>
                          </a:prstGeom>
                        </pic:spPr>
                      </pic:pic>
                    </a:graphicData>
                  </a:graphic>
                </wp:inline>
              </w:drawing>
            </w:r>
          </w:p>
        </w:tc>
        <w:tc>
          <w:tcPr>
            <w:tcW w:w="4261" w:type="dxa"/>
          </w:tcPr>
          <w:p w14:paraId="329A5D9F">
            <w:pPr>
              <w:keepNext w:val="0"/>
              <w:keepLines w:val="0"/>
              <w:widowControl/>
              <w:suppressLineNumbers w:val="0"/>
              <w:jc w:val="left"/>
              <w:rPr>
                <w:vertAlign w:val="baseline"/>
              </w:rPr>
            </w:pPr>
            <w:r>
              <w:rPr>
                <w:rFonts w:hint="eastAsia" w:ascii="宋体" w:hAnsi="宋体" w:eastAsia="宋体" w:cs="宋体"/>
                <w:kern w:val="0"/>
                <w:sz w:val="24"/>
                <w:szCs w:val="24"/>
                <w:lang w:val="en-US" w:eastAsia="zh-CN" w:bidi="ar"/>
              </w:rPr>
              <w:t>潘丽丽老师</w:t>
            </w:r>
            <w:r>
              <w:rPr>
                <w:rFonts w:ascii="宋体" w:hAnsi="宋体" w:eastAsia="宋体" w:cs="宋体"/>
                <w:kern w:val="0"/>
                <w:sz w:val="24"/>
                <w:szCs w:val="24"/>
                <w:lang w:val="en-US" w:eastAsia="zh-CN" w:bidi="ar"/>
              </w:rPr>
              <w:t>以泉州戴云山为核心案例，深入讲解垂直地域分异规律，充分体现了 “以学生为中心”“从身边地理看世界” 的教学理念，为地理核心素养的落地提供了生动范例。此外，引入戴云山生态保护案例，引导学生思考人类活动与垂直地域分异的关系，实现了知识传授与情感教育的有机结合。</w:t>
            </w:r>
          </w:p>
        </w:tc>
      </w:tr>
    </w:tbl>
    <w:p w14:paraId="42C339FB">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59552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14:paraId="51B30797">
            <w:pPr>
              <w:rPr>
                <w:rFonts w:hint="eastAsia" w:eastAsiaTheme="minorEastAsia"/>
                <w:vertAlign w:val="baseline"/>
                <w:lang w:eastAsia="zh-CN"/>
              </w:rPr>
            </w:pPr>
            <w:r>
              <w:rPr>
                <w:rFonts w:hint="eastAsia" w:eastAsiaTheme="minorEastAsia"/>
                <w:vertAlign w:val="baseline"/>
                <w:lang w:eastAsia="zh-CN"/>
              </w:rPr>
              <w:drawing>
                <wp:inline distT="0" distB="0" distL="114300" distR="114300">
                  <wp:extent cx="2565400" cy="1443355"/>
                  <wp:effectExtent l="0" t="0" r="0" b="4445"/>
                  <wp:docPr id="11" name="图片 11" descr="微信图片_20250518184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50518184702"/>
                          <pic:cNvPicPr>
                            <a:picLocks noChangeAspect="1"/>
                          </pic:cNvPicPr>
                        </pic:nvPicPr>
                        <pic:blipFill>
                          <a:blip r:embed="rId11"/>
                          <a:stretch>
                            <a:fillRect/>
                          </a:stretch>
                        </pic:blipFill>
                        <pic:spPr>
                          <a:xfrm>
                            <a:off x="0" y="0"/>
                            <a:ext cx="2565400" cy="1443355"/>
                          </a:xfrm>
                          <a:prstGeom prst="rect">
                            <a:avLst/>
                          </a:prstGeom>
                        </pic:spPr>
                      </pic:pic>
                    </a:graphicData>
                  </a:graphic>
                </wp:inline>
              </w:drawing>
            </w:r>
          </w:p>
        </w:tc>
        <w:tc>
          <w:tcPr>
            <w:tcW w:w="4261" w:type="dxa"/>
          </w:tcPr>
          <w:p w14:paraId="47FBCC0D">
            <w:pPr>
              <w:keepNext w:val="0"/>
              <w:keepLines w:val="0"/>
              <w:widowControl/>
              <w:suppressLineNumbers w:val="0"/>
              <w:jc w:val="left"/>
            </w:pPr>
            <w:r>
              <w:rPr>
                <w:rFonts w:hint="eastAsia" w:ascii="宋体" w:hAnsi="宋体" w:eastAsia="宋体" w:cs="宋体"/>
                <w:kern w:val="0"/>
                <w:sz w:val="24"/>
                <w:szCs w:val="24"/>
                <w:lang w:val="en-US" w:eastAsia="zh-CN" w:bidi="ar"/>
              </w:rPr>
              <w:t>朱婉婷老师</w:t>
            </w:r>
            <w:r>
              <w:rPr>
                <w:rFonts w:ascii="宋体" w:hAnsi="宋体" w:eastAsia="宋体" w:cs="宋体"/>
                <w:kern w:val="0"/>
                <w:sz w:val="24"/>
                <w:szCs w:val="24"/>
                <w:lang w:val="en-US" w:eastAsia="zh-CN" w:bidi="ar"/>
              </w:rPr>
              <w:t>以“颗粒物”为核心线索，聚焦其运动驱动力的探究，将地理学科的综合性与实践性展现得淋漓尽致，层层剖析背后的驱动机制，既实现了知识的高效传递，又培养了学生解决实际地理问题的能力，为高中地理探究式教学提供了良好示范。</w:t>
            </w:r>
          </w:p>
          <w:p w14:paraId="0029F394">
            <w:pPr>
              <w:rPr>
                <w:vertAlign w:val="baseline"/>
              </w:rPr>
            </w:pPr>
          </w:p>
        </w:tc>
      </w:tr>
    </w:tbl>
    <w:p w14:paraId="75332ACB">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2025-05-18T18:23:04Z</dcterms:created>
  <dc:creator>Administrator</dc:creator>
  <cp:lastModifiedBy>一位老父亲 (2)</cp:lastModifiedBy>
  <dcterms:modified xsi:type="dcterms:W3CDTF">2025-05-18T20:21:19Z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2052-12.23.0</vt:lpwstr>
  </property>
  <property fmtid="{D5CDD505-2E9C-101B-9397-08002B2CF9AE}" pid="3" name="KSOTemplateDocerSaveRecord">
    <vt:lpwstr>eyJoZGlkIjoiMzg2NzYwNWQwZjg4MTdkODU1NWNiZDViMjU4MjIyMjUiLCJ1c2VySWQiOiIyNTg3NDMzMzgifQ==</vt:lpwstr>
  </property>
  <property fmtid="{D5CDD505-2E9C-101B-9397-08002B2CF9AE}" pid="4" name="ICV">
    <vt:lpwstr>DEE7DE873DE48AECBFD02968766CED6D_33</vt:lpwstr>
  </property>
</Properties>
</file>